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943" w:rsidRPr="00FE515E" w:rsidRDefault="00654943" w:rsidP="00654943">
      <w:pPr>
        <w:jc w:val="center"/>
        <w:rPr>
          <w:rFonts w:ascii="Bradley Hand ITC" w:hAnsi="Bradley Hand ITC"/>
          <w:b/>
          <w:color w:val="00B0F0"/>
          <w:sz w:val="52"/>
          <w:szCs w:val="52"/>
        </w:rPr>
      </w:pPr>
      <w:r w:rsidRPr="00FE515E">
        <w:rPr>
          <w:rFonts w:ascii="Bradley Hand ITC" w:hAnsi="Bradley Hand ITC"/>
          <w:b/>
          <w:noProof/>
          <w:sz w:val="36"/>
          <w:szCs w:val="36"/>
          <w:u w:val="single"/>
          <w:lang w:eastAsia="de-DE"/>
        </w:rPr>
        <w:drawing>
          <wp:anchor distT="0" distB="0" distL="114300" distR="114300" simplePos="0" relativeHeight="251658752" behindDoc="0" locked="0" layoutInCell="1" allowOverlap="1" wp14:anchorId="7B108DC4" wp14:editId="451B842D">
            <wp:simplePos x="0" y="0"/>
            <wp:positionH relativeFrom="column">
              <wp:posOffset>4488180</wp:posOffset>
            </wp:positionH>
            <wp:positionV relativeFrom="paragraph">
              <wp:posOffset>-687070</wp:posOffset>
            </wp:positionV>
            <wp:extent cx="1772285" cy="1316355"/>
            <wp:effectExtent l="0" t="0" r="0" b="0"/>
            <wp:wrapThrough wrapText="bothSides">
              <wp:wrapPolygon edited="0">
                <wp:start x="17877" y="0"/>
                <wp:lineTo x="10912" y="938"/>
                <wp:lineTo x="7662" y="2501"/>
                <wp:lineTo x="7662" y="5001"/>
                <wp:lineTo x="2090" y="7502"/>
                <wp:lineTo x="0" y="8753"/>
                <wp:lineTo x="0" y="15317"/>
                <wp:lineTo x="8590" y="21256"/>
                <wp:lineTo x="8823" y="21256"/>
                <wp:lineTo x="12770" y="21256"/>
                <wp:lineTo x="13002" y="21256"/>
                <wp:lineTo x="14859" y="20006"/>
                <wp:lineTo x="19967" y="10003"/>
                <wp:lineTo x="21360" y="8753"/>
                <wp:lineTo x="21360" y="3438"/>
                <wp:lineTo x="19038" y="0"/>
                <wp:lineTo x="17877" y="0"/>
              </wp:wrapPolygon>
            </wp:wrapThrough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aindrops-310146_960_720[1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2285" cy="1316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515E">
        <w:rPr>
          <w:rFonts w:ascii="Bradley Hand ITC" w:hAnsi="Bradley Hand ITC"/>
          <w:b/>
          <w:color w:val="00B0F0"/>
          <w:sz w:val="52"/>
          <w:szCs w:val="52"/>
        </w:rPr>
        <w:t xml:space="preserve">Experiment: </w:t>
      </w:r>
    </w:p>
    <w:p w:rsidR="004C2E7F" w:rsidRPr="00FE515E" w:rsidRDefault="00654943" w:rsidP="00654943">
      <w:pPr>
        <w:jc w:val="center"/>
        <w:rPr>
          <w:rFonts w:ascii="Bradley Hand ITC" w:hAnsi="Bradley Hand ITC"/>
          <w:b/>
          <w:color w:val="00B0F0"/>
          <w:sz w:val="52"/>
          <w:szCs w:val="52"/>
        </w:rPr>
      </w:pPr>
      <w:r w:rsidRPr="00FE515E">
        <w:rPr>
          <w:rFonts w:ascii="Bradley Hand ITC" w:hAnsi="Bradley Hand ITC"/>
          <w:b/>
          <w:color w:val="00B0F0"/>
          <w:sz w:val="52"/>
          <w:szCs w:val="52"/>
        </w:rPr>
        <w:t>Was schwimmt und was geht unter?</w:t>
      </w:r>
    </w:p>
    <w:p w:rsidR="00654943" w:rsidRPr="00FE515E" w:rsidRDefault="00654943" w:rsidP="00654943">
      <w:pPr>
        <w:rPr>
          <w:rFonts w:ascii="Bradley Hand ITC" w:hAnsi="Bradley Hand ITC"/>
          <w:b/>
          <w:color w:val="00B0F0"/>
          <w:sz w:val="52"/>
          <w:szCs w:val="52"/>
        </w:rPr>
      </w:pPr>
    </w:p>
    <w:p w:rsidR="00654943" w:rsidRPr="00FE515E" w:rsidRDefault="00654943" w:rsidP="00654943">
      <w:pPr>
        <w:rPr>
          <w:rFonts w:ascii="Bradley Hand ITC" w:hAnsi="Bradley Hand ITC"/>
          <w:b/>
          <w:sz w:val="36"/>
          <w:szCs w:val="36"/>
          <w:u w:val="single"/>
        </w:rPr>
      </w:pPr>
    </w:p>
    <w:p w:rsidR="00654943" w:rsidRPr="00FE515E" w:rsidRDefault="00654943" w:rsidP="00654943">
      <w:pPr>
        <w:rPr>
          <w:rFonts w:ascii="Bradley Hand ITC" w:hAnsi="Bradley Hand ITC"/>
          <w:b/>
          <w:sz w:val="36"/>
          <w:szCs w:val="36"/>
          <w:u w:val="single"/>
        </w:rPr>
      </w:pPr>
      <w:r w:rsidRPr="00FE515E">
        <w:rPr>
          <w:rFonts w:ascii="Bradley Hand ITC" w:hAnsi="Bradley Hand ITC"/>
          <w:b/>
          <w:sz w:val="36"/>
          <w:szCs w:val="36"/>
          <w:u w:val="single"/>
        </w:rPr>
        <w:t>Sie brauchen:</w:t>
      </w:r>
    </w:p>
    <w:p w:rsidR="00654943" w:rsidRPr="00FE515E" w:rsidRDefault="00654943" w:rsidP="00654943">
      <w:pPr>
        <w:rPr>
          <w:rFonts w:ascii="Bradley Hand ITC" w:hAnsi="Bradley Hand ITC"/>
          <w:b/>
          <w:sz w:val="36"/>
          <w:szCs w:val="36"/>
        </w:rPr>
      </w:pPr>
    </w:p>
    <w:p w:rsidR="00654943" w:rsidRPr="00FE515E" w:rsidRDefault="00654943" w:rsidP="00654943">
      <w:pPr>
        <w:pStyle w:val="Listenabsatz"/>
        <w:numPr>
          <w:ilvl w:val="0"/>
          <w:numId w:val="1"/>
        </w:numPr>
        <w:rPr>
          <w:rFonts w:ascii="Bradley Hand ITC" w:hAnsi="Bradley Hand ITC"/>
          <w:b/>
          <w:sz w:val="36"/>
          <w:szCs w:val="36"/>
        </w:rPr>
      </w:pPr>
      <w:r w:rsidRPr="00FE515E">
        <w:rPr>
          <w:rFonts w:ascii="Bradley Hand ITC" w:hAnsi="Bradley Hand ITC"/>
          <w:b/>
          <w:sz w:val="36"/>
          <w:szCs w:val="36"/>
        </w:rPr>
        <w:t>größerer Behälter mit Wasser, z.B. Schüssel, Eimer, Planschbecken</w:t>
      </w:r>
    </w:p>
    <w:p w:rsidR="00654943" w:rsidRPr="00FE515E" w:rsidRDefault="00654943" w:rsidP="00654943">
      <w:pPr>
        <w:pStyle w:val="Listenabsatz"/>
        <w:numPr>
          <w:ilvl w:val="0"/>
          <w:numId w:val="1"/>
        </w:numPr>
        <w:rPr>
          <w:rFonts w:ascii="Bradley Hand ITC" w:hAnsi="Bradley Hand ITC"/>
          <w:b/>
          <w:sz w:val="36"/>
          <w:szCs w:val="36"/>
        </w:rPr>
      </w:pPr>
      <w:r w:rsidRPr="00FE515E">
        <w:rPr>
          <w:rFonts w:ascii="Bradley Hand ITC" w:hAnsi="Bradley Hand ITC"/>
          <w:b/>
          <w:sz w:val="36"/>
          <w:szCs w:val="36"/>
        </w:rPr>
        <w:t>Handtuch zum Unterlegen</w:t>
      </w:r>
    </w:p>
    <w:p w:rsidR="00654943" w:rsidRPr="00FE515E" w:rsidRDefault="00654943" w:rsidP="00654943">
      <w:pPr>
        <w:pStyle w:val="Listenabsatz"/>
        <w:numPr>
          <w:ilvl w:val="0"/>
          <w:numId w:val="1"/>
        </w:numPr>
        <w:rPr>
          <w:rFonts w:ascii="Bradley Hand ITC" w:hAnsi="Bradley Hand ITC"/>
          <w:b/>
          <w:sz w:val="36"/>
          <w:szCs w:val="36"/>
        </w:rPr>
      </w:pPr>
      <w:r w:rsidRPr="00FE515E">
        <w:rPr>
          <w:rFonts w:ascii="Bradley Hand ITC" w:hAnsi="Bradley Hand ITC"/>
          <w:b/>
          <w:sz w:val="36"/>
          <w:szCs w:val="36"/>
        </w:rPr>
        <w:t>Gegenstände aus unterschiedlichem Material, z.B. Steine, Korken, Münzen, Holzstück, Plastiklöffel, Knete</w:t>
      </w:r>
    </w:p>
    <w:p w:rsidR="00654943" w:rsidRPr="00FE515E" w:rsidRDefault="00654943" w:rsidP="00654943">
      <w:pPr>
        <w:pStyle w:val="Listenabsatz"/>
        <w:numPr>
          <w:ilvl w:val="0"/>
          <w:numId w:val="1"/>
        </w:numPr>
        <w:rPr>
          <w:rFonts w:ascii="Bradley Hand ITC" w:hAnsi="Bradley Hand ITC"/>
          <w:b/>
          <w:sz w:val="36"/>
          <w:szCs w:val="36"/>
        </w:rPr>
      </w:pPr>
      <w:r w:rsidRPr="00FE515E">
        <w:rPr>
          <w:rFonts w:ascii="Bradley Hand ITC" w:hAnsi="Bradley Hand ITC"/>
          <w:b/>
          <w:sz w:val="36"/>
          <w:szCs w:val="36"/>
        </w:rPr>
        <w:t>Obst/Gemüse aus der Küche, z.B. Kartoffel, Apfel, Rosinen und Weintrauben</w:t>
      </w:r>
    </w:p>
    <w:p w:rsidR="00654943" w:rsidRPr="00FE515E" w:rsidRDefault="00654943" w:rsidP="00654943">
      <w:pPr>
        <w:rPr>
          <w:rFonts w:ascii="Bradley Hand ITC" w:hAnsi="Bradley Hand ITC"/>
          <w:b/>
          <w:sz w:val="36"/>
          <w:szCs w:val="36"/>
        </w:rPr>
      </w:pPr>
    </w:p>
    <w:p w:rsidR="00654943" w:rsidRPr="00FE515E" w:rsidRDefault="00654943" w:rsidP="00654943">
      <w:pPr>
        <w:rPr>
          <w:rFonts w:ascii="Bradley Hand ITC" w:hAnsi="Bradley Hand ITC"/>
          <w:b/>
          <w:sz w:val="36"/>
          <w:szCs w:val="36"/>
          <w:u w:val="single"/>
        </w:rPr>
      </w:pPr>
    </w:p>
    <w:p w:rsidR="00654943" w:rsidRPr="00FE515E" w:rsidRDefault="00654943" w:rsidP="00654943">
      <w:pPr>
        <w:rPr>
          <w:rFonts w:ascii="Bradley Hand ITC" w:hAnsi="Bradley Hand ITC"/>
          <w:b/>
          <w:sz w:val="36"/>
          <w:szCs w:val="36"/>
          <w:u w:val="single"/>
        </w:rPr>
      </w:pPr>
      <w:r w:rsidRPr="00FE515E">
        <w:rPr>
          <w:rFonts w:ascii="Bradley Hand ITC" w:hAnsi="Bradley Hand ITC"/>
          <w:b/>
          <w:sz w:val="36"/>
          <w:szCs w:val="36"/>
          <w:u w:val="single"/>
        </w:rPr>
        <w:t>Durchführung:</w:t>
      </w:r>
    </w:p>
    <w:p w:rsidR="00654943" w:rsidRPr="00FE515E" w:rsidRDefault="00654943" w:rsidP="00654943">
      <w:pPr>
        <w:rPr>
          <w:rFonts w:ascii="Bradley Hand ITC" w:hAnsi="Bradley Hand ITC"/>
          <w:b/>
          <w:sz w:val="36"/>
          <w:szCs w:val="36"/>
          <w:u w:val="single"/>
        </w:rPr>
      </w:pPr>
    </w:p>
    <w:p w:rsidR="00654943" w:rsidRPr="00FE515E" w:rsidRDefault="00654943" w:rsidP="00654943">
      <w:pPr>
        <w:rPr>
          <w:rFonts w:ascii="Bradley Hand ITC" w:hAnsi="Bradley Hand ITC"/>
          <w:b/>
          <w:sz w:val="36"/>
          <w:szCs w:val="36"/>
        </w:rPr>
      </w:pPr>
      <w:r w:rsidRPr="00FE515E">
        <w:rPr>
          <w:rFonts w:ascii="Bradley Hand ITC" w:hAnsi="Bradley Hand ITC"/>
          <w:b/>
          <w:sz w:val="36"/>
          <w:szCs w:val="36"/>
        </w:rPr>
        <w:t>Den Kindern die Gegenstände in das Wasser legen lassen und beobachten, was geschieht. Die Kinder eventuell vorher raten lassen.</w:t>
      </w:r>
    </w:p>
    <w:p w:rsidR="00654943" w:rsidRPr="00FE515E" w:rsidRDefault="00654943" w:rsidP="00654943">
      <w:pPr>
        <w:rPr>
          <w:rFonts w:ascii="Bradley Hand ITC" w:hAnsi="Bradley Hand ITC"/>
          <w:b/>
          <w:sz w:val="36"/>
          <w:szCs w:val="36"/>
        </w:rPr>
      </w:pPr>
    </w:p>
    <w:p w:rsidR="00654943" w:rsidRPr="00FE515E" w:rsidRDefault="00654943" w:rsidP="00654943">
      <w:pPr>
        <w:rPr>
          <w:rFonts w:ascii="Bradley Hand ITC" w:hAnsi="Bradley Hand ITC"/>
          <w:b/>
          <w:sz w:val="36"/>
          <w:szCs w:val="36"/>
          <w:u w:val="single"/>
        </w:rPr>
      </w:pPr>
    </w:p>
    <w:p w:rsidR="00654943" w:rsidRPr="00FE515E" w:rsidRDefault="00654943" w:rsidP="00654943">
      <w:pPr>
        <w:rPr>
          <w:rFonts w:ascii="Bradley Hand ITC" w:hAnsi="Bradley Hand ITC"/>
          <w:b/>
          <w:sz w:val="36"/>
          <w:szCs w:val="36"/>
          <w:u w:val="single"/>
        </w:rPr>
      </w:pPr>
      <w:r w:rsidRPr="00FE515E">
        <w:rPr>
          <w:rFonts w:ascii="Bradley Hand ITC" w:hAnsi="Bradley Hand ITC"/>
          <w:b/>
          <w:sz w:val="36"/>
          <w:szCs w:val="36"/>
          <w:u w:val="single"/>
        </w:rPr>
        <w:t>Erklärung:</w:t>
      </w:r>
    </w:p>
    <w:p w:rsidR="00654943" w:rsidRPr="00FE515E" w:rsidRDefault="00654943" w:rsidP="00654943">
      <w:pPr>
        <w:rPr>
          <w:rFonts w:ascii="Bradley Hand ITC" w:hAnsi="Bradley Hand ITC"/>
          <w:b/>
          <w:sz w:val="36"/>
          <w:szCs w:val="36"/>
        </w:rPr>
      </w:pPr>
    </w:p>
    <w:p w:rsidR="00654943" w:rsidRPr="00FE515E" w:rsidRDefault="00654943" w:rsidP="00654943">
      <w:pPr>
        <w:rPr>
          <w:rFonts w:ascii="Bradley Hand ITC" w:hAnsi="Bradley Hand ITC"/>
          <w:b/>
          <w:sz w:val="36"/>
          <w:szCs w:val="36"/>
        </w:rPr>
      </w:pPr>
      <w:r w:rsidRPr="00FE515E">
        <w:rPr>
          <w:rFonts w:ascii="Bradley Hand ITC" w:hAnsi="Bradley Hand ITC"/>
          <w:b/>
          <w:sz w:val="36"/>
          <w:szCs w:val="36"/>
        </w:rPr>
        <w:t>Ob ein Gegenstand im Wasser schwimmt oder untergeht, hängt nicht von seiner Größe ab, sondern von seiner Dichte. Hat ein Stoff eine höhere Dichte als Wasser geht er unter.</w:t>
      </w:r>
    </w:p>
    <w:p w:rsidR="00654943" w:rsidRPr="00FE515E" w:rsidRDefault="00654943" w:rsidP="00654943">
      <w:pPr>
        <w:rPr>
          <w:rFonts w:ascii="Bradley Hand ITC" w:hAnsi="Bradley Hand ITC"/>
          <w:b/>
          <w:sz w:val="36"/>
          <w:szCs w:val="36"/>
        </w:rPr>
      </w:pPr>
      <w:bookmarkStart w:id="0" w:name="_GoBack"/>
      <w:bookmarkEnd w:id="0"/>
    </w:p>
    <w:sectPr w:rsidR="00654943" w:rsidRPr="00FE515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1A7449"/>
    <w:multiLevelType w:val="hybridMultilevel"/>
    <w:tmpl w:val="794A66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943"/>
    <w:rsid w:val="002B22DA"/>
    <w:rsid w:val="004C2E7F"/>
    <w:rsid w:val="00654943"/>
    <w:rsid w:val="00FE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549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549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725A4912</Template>
  <TotalTime>0</TotalTime>
  <Pages>2</Pages>
  <Words>91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 team</dc:creator>
  <cp:keywords/>
  <dc:description/>
  <cp:lastModifiedBy>krO team</cp:lastModifiedBy>
  <cp:revision>3</cp:revision>
  <dcterms:created xsi:type="dcterms:W3CDTF">2020-04-21T13:16:00Z</dcterms:created>
  <dcterms:modified xsi:type="dcterms:W3CDTF">2020-04-23T05:03:00Z</dcterms:modified>
</cp:coreProperties>
</file>